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Echipament de joaca Salcie LK09.24.720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6046.96 € inclusiv TVA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jc w:val="both"/>
        <w:rPr>
          <w:rFonts w:ascii="Trebuchet MS" w:cs="Trebuchet MS" w:eastAsia="Trebuchet MS" w:hAnsi="Trebuchet MS"/>
          <w:b w:val="0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555555"/>
          <w:sz w:val="27"/>
          <w:szCs w:val="27"/>
          <w:rtl w:val="0"/>
        </w:rPr>
        <w:t xml:space="preserve">Groapa nisip din elemente elastice LK11.10.250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153.58 € inclusiv TVA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55555"/>
          <w:sz w:val="27"/>
          <w:szCs w:val="27"/>
          <w:rtl w:val="0"/>
        </w:rPr>
        <w:t xml:space="preserve">Banca pentru copii LKP0793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86 € +TVA</w:t>
      </w:r>
    </w:p>
    <w:p w:rsidR="00000000" w:rsidDel="00000000" w:rsidP="00000000" w:rsidRDefault="00000000" w:rsidRPr="00000000" w14:paraId="00000007">
      <w:pPr>
        <w:pStyle w:val="Heading1"/>
        <w:spacing w:after="0" w:before="0" w:lineRule="auto"/>
        <w:jc w:val="both"/>
        <w:rPr>
          <w:rFonts w:ascii="Trebuchet MS" w:cs="Trebuchet MS" w:eastAsia="Trebuchet MS" w:hAnsi="Trebuchet MS"/>
          <w:b w:val="0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555555"/>
          <w:sz w:val="27"/>
          <w:szCs w:val="27"/>
          <w:rtl w:val="0"/>
        </w:rPr>
        <w:t xml:space="preserve">Masa cu banci pentru adulti LKP2715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189 € +TVA</w:t>
      </w:r>
    </w:p>
    <w:p w:rsidR="00000000" w:rsidDel="00000000" w:rsidP="00000000" w:rsidRDefault="00000000" w:rsidRPr="00000000" w14:paraId="00000009">
      <w:pPr>
        <w:pStyle w:val="Heading1"/>
        <w:spacing w:after="0" w:before="0" w:lineRule="auto"/>
        <w:jc w:val="both"/>
        <w:rPr>
          <w:rFonts w:ascii="Trebuchet MS" w:cs="Trebuchet MS" w:eastAsia="Trebuchet MS" w:hAnsi="Trebuchet MS"/>
          <w:b w:val="0"/>
          <w:color w:val="555555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555555"/>
          <w:sz w:val="30"/>
          <w:szCs w:val="30"/>
          <w:rtl w:val="0"/>
        </w:rPr>
        <w:t xml:space="preserve">Cos gunoi LKP1235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47 € +Tva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Balansoar LKB07-124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222 € +Tva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Balansoar LKA02-367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255 </w:t>
      </w: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€ +tva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Balansoar pe arc LKA02-142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255 </w:t>
      </w: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€ +tva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Carusel LKCA20346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color w:val="333333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003399"/>
            <w:sz w:val="16"/>
            <w:szCs w:val="16"/>
            <w:u w:val="single"/>
            <w:rtl w:val="0"/>
          </w:rPr>
          <w:br w:type="textWrapping"/>
        </w:r>
      </w:hyperlink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878.82 € inclusiv TVA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Leagan doua locuri LKL06-K33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color w:val="333333"/>
        </w:rPr>
      </w:pPr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394 € +tva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Leagan doua locuri LKL18-C11 (LKL14-C11)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333333"/>
        </w:rPr>
      </w:pPr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354 € +tva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555555"/>
          <w:sz w:val="27"/>
          <w:szCs w:val="27"/>
          <w:rtl w:val="0"/>
        </w:rPr>
        <w:t xml:space="preserve">Pavimente din cauciuc pentru parcuri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color w:val="333333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4.5 cm – verde 120 /lei fara tva  100x100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rebuchet MS" w:cs="Trebuchet MS" w:eastAsia="Trebuchet MS" w:hAnsi="Trebuchet MS"/>
          <w:color w:val="555555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ftrek.ro/echipamente-de-joaca-pentru-spatii-publice/echipamente-de-joaca-orient/carusele/carusel-lkca202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